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宋体" w:hAnsi="宋体"/>
          <w:sz w:val="84"/>
          <w:szCs w:val="84"/>
        </w:rPr>
      </w:pPr>
      <w:r>
        <w:rPr>
          <w:rFonts w:hint="eastAsia" w:ascii="宋体" w:hAnsi="宋体"/>
          <w:bCs/>
          <w:kern w:val="0"/>
          <w:sz w:val="84"/>
          <w:szCs w:val="84"/>
        </w:rPr>
        <w:t>陵水黎族自治县</w:t>
      </w:r>
      <w:r>
        <w:rPr>
          <w:rFonts w:hint="eastAsia" w:ascii="宋体" w:hAnsi="宋体"/>
          <w:bCs/>
          <w:spacing w:val="4"/>
          <w:w w:val="70"/>
          <w:kern w:val="0"/>
          <w:sz w:val="84"/>
          <w:szCs w:val="84"/>
          <w:fitText w:val="8235" w:id="0"/>
        </w:rPr>
        <w:t>引进高层次人才申报</w:t>
      </w:r>
      <w:r>
        <w:rPr>
          <w:rFonts w:hint="eastAsia" w:ascii="宋体" w:hAnsi="宋体"/>
          <w:bCs/>
          <w:spacing w:val="-22"/>
          <w:w w:val="70"/>
          <w:kern w:val="0"/>
          <w:sz w:val="84"/>
          <w:szCs w:val="84"/>
          <w:fitText w:val="8235" w:id="0"/>
        </w:rPr>
        <w:t>表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（引进单位填报）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193" w:firstLineChars="396"/>
        <w:rPr>
          <w:rFonts w:hint="eastAsia"/>
          <w:b/>
          <w:sz w:val="30"/>
          <w:u w:val="single"/>
        </w:rPr>
      </w:pPr>
      <w:r>
        <w:rPr>
          <w:rFonts w:hint="eastAsia"/>
          <w:b/>
          <w:sz w:val="30"/>
        </w:rPr>
        <w:t xml:space="preserve">申报单位： </w:t>
      </w:r>
      <w:r>
        <w:rPr>
          <w:rFonts w:hint="eastAsia"/>
          <w:b/>
          <w:sz w:val="30"/>
          <w:u w:val="single"/>
        </w:rPr>
        <w:t xml:space="preserve">                                   </w:t>
      </w:r>
    </w:p>
    <w:p>
      <w:pPr>
        <w:ind w:firstLine="2349" w:firstLineChars="780"/>
        <w:rPr>
          <w:rFonts w:hint="eastAsia"/>
          <w:b/>
          <w:sz w:val="30"/>
        </w:rPr>
      </w:pPr>
    </w:p>
    <w:p>
      <w:pPr>
        <w:rPr>
          <w:rFonts w:hint="eastAsia"/>
          <w:b/>
          <w:sz w:val="30"/>
        </w:rPr>
      </w:pPr>
    </w:p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30"/>
        </w:rPr>
        <w:t>填报时间：            年    月    日</w:t>
      </w:r>
    </w:p>
    <w:p>
      <w:pPr>
        <w:rPr>
          <w:rFonts w:hint="eastAsia"/>
          <w:b/>
          <w:sz w:val="30"/>
        </w:rPr>
      </w:pPr>
    </w:p>
    <w:p>
      <w:pPr>
        <w:rPr>
          <w:rFonts w:hint="eastAsia"/>
          <w:b/>
          <w:sz w:val="30"/>
        </w:rPr>
      </w:pPr>
    </w:p>
    <w:p>
      <w:pPr>
        <w:jc w:val="center"/>
        <w:rPr>
          <w:rFonts w:hint="eastAsia"/>
          <w:b/>
          <w:sz w:val="30"/>
        </w:rPr>
      </w:pPr>
      <w:r>
        <w:rPr>
          <w:rFonts w:hint="eastAsia"/>
          <w:b/>
          <w:sz w:val="30"/>
        </w:rPr>
        <w:t>陵水黎族自治县委组织部制表</w:t>
      </w:r>
    </w:p>
    <w:p>
      <w:pPr>
        <w:rPr>
          <w:rFonts w:hint="eastAsia"/>
          <w:sz w:val="24"/>
        </w:rPr>
      </w:pPr>
    </w:p>
    <w:tbl>
      <w:tblPr>
        <w:tblStyle w:val="7"/>
        <w:tblpPr w:leftFromText="180" w:rightFromText="180" w:horzAnchor="margin" w:tblpX="1" w:tblpY="472"/>
        <w:tblW w:w="91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3360"/>
        <w:gridCol w:w="1549"/>
        <w:gridCol w:w="2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" w:hRule="atLeast"/>
        </w:trPr>
        <w:tc>
          <w:tcPr>
            <w:tcW w:w="22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95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  <w:tc>
          <w:tcPr>
            <w:tcW w:w="6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拟引进</w:t>
            </w:r>
          </w:p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人才类型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拟引进人数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8" w:hRule="atLeast"/>
        </w:trPr>
        <w:tc>
          <w:tcPr>
            <w:tcW w:w="22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科研（工作）名称、研究方向及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预期成果</w:t>
            </w:r>
          </w:p>
        </w:tc>
        <w:tc>
          <w:tcPr>
            <w:tcW w:w="695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1" w:hRule="atLeast"/>
        </w:trPr>
        <w:tc>
          <w:tcPr>
            <w:tcW w:w="22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引进方式</w:t>
            </w:r>
          </w:p>
        </w:tc>
        <w:tc>
          <w:tcPr>
            <w:tcW w:w="695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引进时间</w:t>
            </w:r>
          </w:p>
        </w:tc>
        <w:tc>
          <w:tcPr>
            <w:tcW w:w="6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  </w:t>
            </w:r>
          </w:p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年   月   日    ——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引进人才薪酬</w:t>
            </w:r>
          </w:p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支付方式</w:t>
            </w:r>
          </w:p>
        </w:tc>
        <w:tc>
          <w:tcPr>
            <w:tcW w:w="6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</w:p>
        </w:tc>
      </w:tr>
    </w:tbl>
    <w:tbl>
      <w:tblPr>
        <w:tblStyle w:val="8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6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2208" w:type="dxa"/>
            <w:vAlign w:val="top"/>
          </w:tcPr>
          <w:p>
            <w:pPr>
              <w:tabs>
                <w:tab w:val="left" w:pos="735"/>
                <w:tab w:val="center" w:pos="996"/>
              </w:tabs>
              <w:snapToGrid w:val="0"/>
              <w:spacing w:line="240" w:lineRule="atLeas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ab/>
            </w:r>
          </w:p>
          <w:p>
            <w:pPr>
              <w:tabs>
                <w:tab w:val="left" w:pos="255"/>
                <w:tab w:val="center" w:pos="996"/>
              </w:tabs>
              <w:snapToGrid w:val="0"/>
              <w:spacing w:line="240" w:lineRule="atLeas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ab/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县委组织部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  <w:p>
            <w:pPr>
              <w:tabs>
                <w:tab w:val="left" w:pos="255"/>
                <w:tab w:val="center" w:pos="996"/>
              </w:tabs>
              <w:snapToGrid w:val="0"/>
              <w:spacing w:line="240" w:lineRule="atLeast"/>
              <w:ind w:firstLine="240" w:firstLineChars="100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6966" w:type="dxa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208" w:type="dxa"/>
            <w:vAlign w:val="top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ind w:firstLine="600" w:firstLineChars="2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  委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审批意见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66" w:type="dxa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</w:p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　　</w:t>
      </w:r>
      <w:r>
        <w:rPr>
          <w:rFonts w:hint="eastAsia" w:ascii="宋体" w:hAnsi="宋体"/>
          <w:sz w:val="24"/>
        </w:rPr>
        <w:t>1、单位性质系指：机关（党政群）、事业（全额拨款、差额拨款、或自收自支）、企业。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　　</w:t>
      </w:r>
      <w:r>
        <w:rPr>
          <w:rFonts w:hint="eastAsia" w:ascii="宋体" w:hAnsi="宋体"/>
          <w:sz w:val="24"/>
        </w:rPr>
        <w:t>2、“引进方式”系指：调动、借用、聘用、兼职、承担委托项目、合作研究、技术入股、其他方式（应予注明）。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left="0" w:leftChars="0" w:right="0" w:rightChars="0" w:firstLine="0" w:firstLineChars="0"/>
        <w:jc w:val="both"/>
        <w:textAlignment w:val="auto"/>
        <w:outlineLvl w:val="9"/>
        <w:rPr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/>
          <w:spacing w:val="-12"/>
          <w:sz w:val="24"/>
          <w:lang w:eastAsia="zh-CN"/>
        </w:rPr>
        <w:t>　　</w:t>
      </w:r>
      <w:r>
        <w:rPr>
          <w:rFonts w:hint="eastAsia" w:ascii="宋体" w:hAnsi="宋体"/>
          <w:spacing w:val="-12"/>
          <w:sz w:val="24"/>
        </w:rPr>
        <w:t>3、引进人才薪酬支付方式系指：县财政拨款、单位自筹等,并标明引进人才所需费用明细。</w:t>
      </w:r>
    </w:p>
    <w:sectPr>
      <w:pgSz w:w="11849" w:h="16781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2621B"/>
    <w:rsid w:val="4EFF01F9"/>
    <w:rsid w:val="69622FF0"/>
    <w:rsid w:val="6E5262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  <w:rPr>
      <w:rFonts w:ascii="仿宋_GB2312" w:eastAsia="仿宋_GB2312"/>
      <w:b/>
      <w:sz w:val="32"/>
      <w:szCs w:val="32"/>
    </w:rPr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Char Char Char Char"/>
    <w:basedOn w:val="1"/>
    <w:link w:val="4"/>
    <w:qFormat/>
    <w:uiPriority w:val="0"/>
    <w:rPr>
      <w:rFonts w:ascii="仿宋_GB2312" w:eastAsia="仿宋_GB2312"/>
      <w:b/>
      <w:sz w:val="32"/>
      <w:szCs w:val="32"/>
    </w:rPr>
  </w:style>
  <w:style w:type="character" w:styleId="6">
    <w:name w:val="page number"/>
    <w:basedOn w:val="4"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2016-03-03T03:46:00Z</dcterms:created>
  <dc:creator>Administrator</dc:creator>
  <cp:lastModifiedBy>Administrator</cp:lastModifiedBy>
  <dcterms:modified xsi:type="dcterms:W3CDTF">2016-03-03T06:50:12Z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