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陵水黎族自治县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引进高层次人才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规定</w:t>
      </w:r>
    </w:p>
    <w:p>
      <w:pPr>
        <w:widowControl w:val="0"/>
        <w:wordWrap/>
        <w:adjustRightInd/>
        <w:snapToGrid/>
        <w:spacing w:line="4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为深入实施人才强县战略，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实施更加开放的创新人才引进政策，推进我县高层次人才引进工程，充分发挥高层次人才在我县经济社会发展中的重要作用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为陵水全面建成小康社会提供人才支撑保障，根据海南省委、省政府制定实施的《海南省柔性引进人才暂行办法》（琼办发〔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34号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）、海南省人力资源和社会保障厅制定的《海南省事业单位考核招聘工作人员暂行规定》（琼人社发〔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）、《海南省高层次人才认定办法（试行）》（琼府办〔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）和陵水县委、县政府实施的《陵水黎族自治县干部人事调配管理工作的有关规定（试行）》（陵委办〔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），结合我县实际，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制定本规定。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引进高层次人才的基本原则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（一）引进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人才与经济社会发展需要相结合；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（二）引进人才的相关待遇与工作实绩相结合。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第二条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本规定所指的高层次人才是我县重点产业、重大项目、重点工程，以及生产、科技、教育、卫生事业等行业急需引进的高层次人才。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第三条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引进的范围为全县党政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群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机关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、企事业单位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刚性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引进的高层次人才年龄须在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50周岁及以下，柔性引进的人才可放宽至55周岁，特殊专才可适当放宽条件。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第五条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引进的高层次人才应符合下列条件之一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国家有</w:t>
      </w:r>
      <w:r>
        <w:rPr>
          <w:rFonts w:hint="eastAsia" w:ascii="仿宋_GB2312" w:hAnsi="仿宋_GB2312" w:eastAsia="仿宋_GB2312" w:cs="仿宋_GB2312"/>
          <w:sz w:val="32"/>
          <w:szCs w:val="32"/>
        </w:rPr>
        <w:t>突出贡献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专家、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享受国务院特殊津贴的专家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等国家级优秀人才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（二）省部级优秀专家、博士生导师；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（三）省级及以上学术技术带头人；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（四）具有正高级职称的专业技术人员或具有博士学位（</w:t>
      </w:r>
      <w:r>
        <w:rPr>
          <w:rFonts w:hint="eastAsia" w:ascii="仿宋_GB2312" w:hAnsi="仿宋_GB2312" w:eastAsia="仿宋_GB2312" w:cs="仿宋_GB2312"/>
          <w:sz w:val="32"/>
          <w:szCs w:val="32"/>
        </w:rPr>
        <w:t>国外学历学位须经教育部留学服务中心认证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）的人员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人才引进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的方式</w:t>
      </w: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人才引进方式为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刚性引进和柔性引进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刚性引进是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用人单位采取招录（聘）、调入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等固定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的方式来引进人才；柔性引进是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用人单位采用借用、聘用、兼职、承担委托项目、合作研究、技术入股等流动方式来引进人才。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Lines="0" w:afterLines="0"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用人单位及拟引进人才分别向县委组织部提出书面申请，并提交《陵水黎族自治县引进高层次人才申报表》等有关材料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县委组织部牵头，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纪检（监察）部门及相关招聘人才部门参与，对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拟引进人才进行综合考核，并将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符合条件的人选</w:t>
      </w:r>
      <w:r>
        <w:rPr>
          <w:rFonts w:hint="eastAsia" w:ascii="仿宋_GB2312" w:hAnsi="仿宋_GB2312" w:eastAsia="仿宋_GB2312" w:cs="仿宋_GB2312"/>
          <w:sz w:val="32"/>
          <w:szCs w:val="32"/>
        </w:rPr>
        <w:t>报县委常委会议讨论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用人单位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负责办理引进人才相关事项，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按干部管理相关规定办理入职手续。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与引进人才签定合同，就引进人才的权利与义务、待遇与责任、服务内容、岗位职责、目标任务、标准、工资报酬要求以及双方违约责任作出明确的约定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</w:rPr>
        <w:t>第</w:t>
      </w: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  <w:lang w:eastAsia="zh-CN"/>
        </w:rPr>
        <w:t>引进人才的待遇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（一）刚性引进的人才在</w:t>
      </w:r>
      <w:r>
        <w:rPr>
          <w:rFonts w:hint="eastAsia" w:ascii="仿宋_GB2312" w:eastAsia="仿宋_GB2312"/>
          <w:sz w:val="32"/>
          <w:szCs w:val="32"/>
        </w:rPr>
        <w:t>单位满编时，由县机构编制部门报经省编制部门同意后，采取核定过渡编制的方式，先聘用，待单位人员调动、退休等自然减员时冲销过渡编制。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引进的高层次人才</w:t>
      </w:r>
      <w:r>
        <w:rPr>
          <w:rFonts w:hint="eastAsia" w:ascii="仿宋_GB2312" w:eastAsia="仿宋_GB2312"/>
          <w:sz w:val="32"/>
          <w:szCs w:val="32"/>
          <w:lang w:eastAsia="zh-CN"/>
        </w:rPr>
        <w:t>与我县签约工作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5年以上者，</w:t>
      </w:r>
      <w:r>
        <w:rPr>
          <w:rFonts w:hint="eastAsia" w:ascii="仿宋_GB2312" w:eastAsia="仿宋_GB2312"/>
          <w:sz w:val="32"/>
          <w:szCs w:val="32"/>
        </w:rPr>
        <w:t>用人单位发给在我县购置住房的安家补助费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国家</w:t>
      </w:r>
      <w:r>
        <w:rPr>
          <w:rFonts w:hint="eastAsia" w:ascii="仿宋_GB2312" w:eastAsia="仿宋_GB2312"/>
          <w:sz w:val="32"/>
          <w:szCs w:val="32"/>
        </w:rPr>
        <w:t>“突出贡献”</w:t>
      </w:r>
      <w:r>
        <w:rPr>
          <w:rFonts w:hint="eastAsia" w:ascii="仿宋_GB2312" w:eastAsia="仿宋_GB2312"/>
          <w:sz w:val="32"/>
          <w:szCs w:val="32"/>
          <w:lang w:eastAsia="zh-CN"/>
        </w:rPr>
        <w:t>专家、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享受国务院特殊津贴的专家</w:t>
      </w:r>
      <w:r>
        <w:rPr>
          <w:rFonts w:hint="eastAsia" w:ascii="仿宋_GB2312" w:eastAsia="仿宋_GB2312"/>
          <w:sz w:val="32"/>
          <w:szCs w:val="32"/>
          <w:lang w:eastAsia="zh-CN"/>
        </w:rPr>
        <w:t>等国家级优秀人才</w:t>
      </w:r>
      <w:r>
        <w:rPr>
          <w:rFonts w:hint="eastAsia" w:ascii="仿宋_GB2312" w:eastAsia="仿宋_GB2312"/>
          <w:sz w:val="32"/>
          <w:szCs w:val="32"/>
        </w:rPr>
        <w:t>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省部级优秀专家、</w:t>
      </w:r>
      <w:r>
        <w:rPr>
          <w:rFonts w:hint="eastAsia" w:ascii="仿宋_GB2312" w:eastAsia="仿宋_GB2312"/>
          <w:sz w:val="32"/>
          <w:szCs w:val="32"/>
          <w:lang w:eastAsia="zh-CN"/>
        </w:rPr>
        <w:t>博士生导师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补助30万元；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省级及以上学术技术带头人补助20万元；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具有正高级职称的专业技术人员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博士</w:t>
      </w:r>
      <w:r>
        <w:rPr>
          <w:rFonts w:hint="eastAsia" w:ascii="仿宋_GB2312" w:eastAsia="仿宋_GB2312"/>
          <w:sz w:val="32"/>
          <w:szCs w:val="32"/>
          <w:lang w:eastAsia="zh-CN"/>
        </w:rPr>
        <w:t>学位人才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补助15万元。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Calibri" w:eastAsia="仿宋_GB2312" w:cs="黑体"/>
          <w:color w:val="000000"/>
          <w:kern w:val="2"/>
          <w:sz w:val="32"/>
          <w:szCs w:val="32"/>
          <w:lang w:val="en-US" w:eastAsia="zh-CN"/>
        </w:rPr>
        <w:t>对引进带项目、带</w:t>
      </w:r>
      <w:r>
        <w:rPr>
          <w:rFonts w:hint="eastAsia" w:ascii="仿宋_GB2312" w:eastAsia="仿宋_GB2312" w:cs="黑体"/>
          <w:color w:val="000000"/>
          <w:kern w:val="2"/>
          <w:sz w:val="32"/>
          <w:szCs w:val="32"/>
          <w:lang w:val="en-US" w:eastAsia="zh-CN"/>
        </w:rPr>
        <w:t>技术</w:t>
      </w:r>
      <w:r>
        <w:rPr>
          <w:rFonts w:hint="eastAsia" w:ascii="仿宋_GB2312" w:hAnsi="Calibri" w:eastAsia="仿宋_GB2312" w:cs="黑体"/>
          <w:color w:val="000000"/>
          <w:kern w:val="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cs="黑体"/>
          <w:color w:val="000000"/>
          <w:kern w:val="2"/>
          <w:sz w:val="32"/>
          <w:szCs w:val="32"/>
          <w:lang w:val="en-US" w:eastAsia="zh-CN"/>
        </w:rPr>
        <w:t>国家级优秀</w:t>
      </w:r>
      <w:r>
        <w:rPr>
          <w:rFonts w:hint="eastAsia" w:ascii="仿宋_GB2312" w:hAnsi="Calibri" w:eastAsia="仿宋_GB2312" w:cs="黑体"/>
          <w:color w:val="000000"/>
          <w:kern w:val="2"/>
          <w:sz w:val="32"/>
          <w:szCs w:val="32"/>
          <w:lang w:val="en-US" w:eastAsia="zh-CN"/>
        </w:rPr>
        <w:t>人才，提供项目报告、营业执照、资金证明及科技成果证明材料（专利、论文、项目等），</w:t>
      </w:r>
      <w:r>
        <w:rPr>
          <w:rFonts w:hint="eastAsia" w:ascii="仿宋_GB2312" w:eastAsia="仿宋_GB2312" w:cs="黑体"/>
          <w:color w:val="000000"/>
          <w:kern w:val="2"/>
          <w:sz w:val="32"/>
          <w:szCs w:val="32"/>
          <w:lang w:val="en-US" w:eastAsia="zh-CN"/>
        </w:rPr>
        <w:t>经</w:t>
      </w:r>
      <w:r>
        <w:rPr>
          <w:rFonts w:hint="eastAsia" w:ascii="仿宋_GB2312" w:hAnsi="Calibri" w:eastAsia="仿宋_GB2312" w:cs="黑体"/>
          <w:color w:val="000000"/>
          <w:kern w:val="2"/>
          <w:sz w:val="32"/>
          <w:szCs w:val="32"/>
          <w:lang w:val="en-US" w:eastAsia="zh-CN"/>
        </w:rPr>
        <w:t>县政府</w:t>
      </w:r>
      <w:r>
        <w:rPr>
          <w:rFonts w:hint="eastAsia" w:ascii="仿宋_GB2312" w:eastAsia="仿宋_GB2312" w:cs="黑体"/>
          <w:color w:val="000000"/>
          <w:kern w:val="2"/>
          <w:sz w:val="32"/>
          <w:szCs w:val="32"/>
          <w:lang w:val="en-US" w:eastAsia="zh-CN"/>
        </w:rPr>
        <w:t>审核后，批拨一定的专项工作经费，</w:t>
      </w:r>
      <w:r>
        <w:rPr>
          <w:rFonts w:hint="eastAsia" w:ascii="仿宋_GB2312" w:hAnsi="Calibri" w:eastAsia="仿宋_GB2312" w:cs="黑体"/>
          <w:color w:val="000000"/>
          <w:kern w:val="2"/>
          <w:sz w:val="32"/>
          <w:szCs w:val="32"/>
          <w:lang w:val="en-US" w:eastAsia="zh-CN"/>
        </w:rPr>
        <w:t>按照服务年限逐年拨付。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宋体" w:eastAsia="仿宋_GB2312" w:cs="黑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val="en-US" w:eastAsia="zh-CN"/>
        </w:rPr>
        <w:t>第八条　</w:t>
      </w:r>
      <w:r>
        <w:rPr>
          <w:rFonts w:hint="eastAsia" w:ascii="仿宋_GB2312" w:hAnsi="宋体" w:eastAsia="仿宋_GB2312" w:cs="黑体"/>
          <w:color w:val="000000"/>
          <w:sz w:val="32"/>
          <w:szCs w:val="32"/>
          <w:lang w:val="en-US" w:eastAsia="zh-CN"/>
        </w:rPr>
        <w:t>引进人才的奖励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黑体"/>
          <w:b w:val="0"/>
          <w:bCs w:val="0"/>
          <w:sz w:val="32"/>
          <w:szCs w:val="32"/>
          <w:lang w:val="en-US" w:eastAsia="zh-CN"/>
        </w:rPr>
        <w:t>引进人才</w:t>
      </w:r>
      <w:r>
        <w:rPr>
          <w:rFonts w:hint="eastAsia" w:ascii="仿宋_GB2312" w:hAnsi="Calibri" w:eastAsia="仿宋_GB2312" w:cs="黑体"/>
          <w:b w:val="0"/>
          <w:bCs w:val="0"/>
          <w:sz w:val="32"/>
          <w:szCs w:val="32"/>
        </w:rPr>
        <w:t>在陵水工作期间，取得显著业绩的，给予</w:t>
      </w:r>
      <w:r>
        <w:rPr>
          <w:rFonts w:hint="eastAsia" w:ascii="仿宋_GB2312" w:eastAsia="仿宋_GB2312" w:cs="黑体"/>
          <w:b w:val="0"/>
          <w:bCs w:val="0"/>
          <w:sz w:val="32"/>
          <w:szCs w:val="32"/>
          <w:lang w:eastAsia="zh-CN"/>
        </w:rPr>
        <w:t>一定的</w:t>
      </w:r>
      <w:r>
        <w:rPr>
          <w:rFonts w:hint="eastAsia" w:ascii="仿宋_GB2312" w:hAnsi="Calibri" w:eastAsia="仿宋_GB2312" w:cs="黑体"/>
          <w:b w:val="0"/>
          <w:bCs w:val="0"/>
          <w:sz w:val="32"/>
          <w:szCs w:val="32"/>
        </w:rPr>
        <w:t>奖励</w:t>
      </w:r>
      <w:r>
        <w:rPr>
          <w:rFonts w:hint="eastAsia" w:ascii="仿宋_GB2312" w:eastAsia="仿宋_GB2312" w:cs="黑体"/>
          <w:b w:val="0"/>
          <w:bCs w:val="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eastAsia="仿宋_GB2312"/>
          <w:sz w:val="32"/>
          <w:szCs w:val="32"/>
        </w:rPr>
        <w:t>获得国家科技进步奖或成果转化奖</w:t>
      </w:r>
      <w:r>
        <w:rPr>
          <w:rFonts w:hint="eastAsia" w:ascii="仿宋_GB2312" w:eastAsia="仿宋_GB2312"/>
          <w:sz w:val="32"/>
          <w:szCs w:val="32"/>
          <w:lang w:eastAsia="zh-CN"/>
        </w:rPr>
        <w:t>的，县政府给予应有的奖励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；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（二）获得海南省科技进步奖或成果转化奖的，县政府给予一定的奖励；</w:t>
      </w: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lang w:eastAsia="zh-CN"/>
        </w:rPr>
        <w:t>）获得本县优秀人才荣誉称号的，县政府给予鼓励性奖励。</w:t>
      </w: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 w:cs="黑体"/>
          <w:color w:val="000000"/>
          <w:sz w:val="32"/>
          <w:szCs w:val="32"/>
        </w:rPr>
      </w:pP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eastAsia="zh-CN"/>
        </w:rPr>
        <w:t>第九条　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</w:rPr>
        <w:t>购房补贴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  <w:lang w:eastAsia="zh-CN"/>
        </w:rPr>
        <w:t>发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</w:rPr>
        <w:t>放办法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（一）我县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引进的高层次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优秀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人才，购房补贴按服务年限平均分摊在每年发给。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引进的人才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服务期限未满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单方解除聘用合同或调离工作岗位者，停拨剩余的购房补贴费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、专项工作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经费，已用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专项工作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经费购置的固定资产须缴还原所在单位。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eastAsia="zh-CN"/>
        </w:rPr>
        <w:t>第十条　</w:t>
      </w:r>
      <w:r>
        <w:rPr>
          <w:rFonts w:hint="eastAsia" w:ascii="仿宋_GB2312" w:hAnsi="宋体" w:eastAsia="仿宋_GB2312" w:cs="黑体"/>
          <w:color w:val="000000"/>
          <w:sz w:val="32"/>
          <w:szCs w:val="32"/>
          <w:lang w:val="en-US" w:eastAsia="zh-CN"/>
        </w:rPr>
        <w:t>引进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  <w:lang w:eastAsia="zh-CN"/>
        </w:rPr>
        <w:t>人才</w:t>
      </w:r>
      <w:r>
        <w:rPr>
          <w:rFonts w:hint="eastAsia" w:ascii="仿宋_GB2312" w:hAnsi="宋体" w:eastAsia="仿宋_GB2312" w:cs="黑体"/>
          <w:b w:val="0"/>
          <w:bCs w:val="0"/>
          <w:color w:val="000000"/>
          <w:sz w:val="32"/>
          <w:szCs w:val="32"/>
        </w:rPr>
        <w:t>的管理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（一）采用岗位聘用制、承担委托项目、合作研究等柔性引进的人员，实行合同管理；引进人员应完成相应岗位签订的各项职责。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（二）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引进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高层次人才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聘用期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间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，县委组织部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每年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将对其进行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工作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考核。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考核内容主要为考核引进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高层次人才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履行《聘任合同》中的工作任务、工作目标、思想政治素质和团结协作精神等情况。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考核等次分为：优秀、合格、基本合格和不合格四个等次。如考核评价为不合格者，将不得再续签工作合同。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宋体" w:eastAsia="仿宋_GB2312" w:cs="黑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黑体"/>
          <w:b/>
          <w:bCs/>
          <w:color w:val="000000"/>
          <w:sz w:val="32"/>
          <w:szCs w:val="32"/>
          <w:lang w:val="en-US" w:eastAsia="zh-CN"/>
        </w:rPr>
        <w:t>第十一条　</w:t>
      </w:r>
      <w:r>
        <w:rPr>
          <w:rFonts w:hint="eastAsia" w:ascii="仿宋_GB2312" w:hAnsi="宋体" w:eastAsia="仿宋_GB2312" w:cs="黑体"/>
          <w:color w:val="000000"/>
          <w:sz w:val="32"/>
          <w:szCs w:val="32"/>
          <w:lang w:val="en-US" w:eastAsia="zh-CN"/>
        </w:rPr>
        <w:t>其他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引进的高层次人才，来我县之前获得的荣誉称号和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专业技术资格、职业资格，按规定程序报经人事部门核实后予以确认、保留，并按照相应制度纳入我县同类人才管理、服务，享有同等待遇。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引进人才配偶的工作安排。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在政策许可条件下，根据引进人才配偶原就业情况、职业身份统筹协调，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可以安排到对口单位</w:t>
      </w:r>
      <w:r>
        <w:rPr>
          <w:rFonts w:hint="eastAsia" w:ascii="仿宋_GB2312" w:hAnsi="仿宋_GB2312" w:eastAsia="仿宋_GB2312" w:cs="仿宋_GB2312"/>
          <w:color w:val="000000"/>
          <w:spacing w:val="0"/>
          <w:kern w:val="2"/>
          <w:sz w:val="32"/>
          <w:szCs w:val="32"/>
        </w:rPr>
        <w:t>就业；对于配偶无就业的，可以优先安排公益性岗位就业。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引进人才的子女需转入本县中小学校、幼儿园就读的，可择校（园）入学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用人单位要协调县社保、医保部门为引进的人才办理社会养老保险和医疗保险参保手续。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用人单位应制定人才引进经费使用管理办法，规范人才引进经费使用程序，加强县属高层次人才引进经费的管理。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本规定适用于本县内的各党政群机关、企事业单位，各用人单位必须严格遵守规定内容。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  <w:t>本规定由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eastAsia="zh-CN"/>
        </w:rPr>
        <w:t>县委办解释，具体工作由县委组织部负责。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本规定自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之日起施行，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  <w:t>陵水黎族自治县引进高层次专业技术人才暂行规定》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eastAsia="zh-CN"/>
        </w:rPr>
        <w:t>（陵委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63号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eastAsia="zh-CN"/>
        </w:rPr>
        <w:t>）同时废止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4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4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46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  <w:t>附件1：</w:t>
      </w:r>
    </w:p>
    <w:p>
      <w:pPr>
        <w:widowControl w:val="0"/>
        <w:wordWrap/>
        <w:adjustRightInd/>
        <w:snapToGrid/>
        <w:spacing w:line="46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  <w:t>《陵水黎族自治县引进高层次人才申报表》（引进个人填报）</w:t>
      </w:r>
    </w:p>
    <w:p>
      <w:pPr>
        <w:widowControl w:val="0"/>
        <w:wordWrap/>
        <w:adjustRightInd/>
        <w:snapToGrid/>
        <w:spacing w:line="46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  <w:t>附件2：</w:t>
      </w:r>
    </w:p>
    <w:p>
      <w:pPr>
        <w:widowControl w:val="0"/>
        <w:wordWrap/>
        <w:adjustRightInd/>
        <w:snapToGrid/>
        <w:spacing w:line="46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  <w:t>《陵水黎族自治县引进高层次人才申报表》（引进单位填报）</w:t>
      </w:r>
    </w:p>
    <w:p>
      <w:pPr/>
      <w:bookmarkStart w:id="0" w:name="_GoBack"/>
      <w:bookmarkEnd w:id="0"/>
    </w:p>
    <w:sectPr>
      <w:headerReference r:id="rId3" w:type="default"/>
      <w:footerReference r:id="rId4" w:type="default"/>
      <w:pgSz w:w="11849" w:h="16781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D0F5F"/>
    <w:rsid w:val="27AB3357"/>
    <w:rsid w:val="3A6A0E17"/>
    <w:rsid w:val="4272320B"/>
    <w:rsid w:val="542D0F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2016-03-11T02:17:00Z</dcterms:created>
  <dc:creator>Administrator</dc:creator>
  <cp:lastModifiedBy>Administrator</cp:lastModifiedBy>
  <dcterms:modified xsi:type="dcterms:W3CDTF">2016-03-11T02:27:25Z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